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7C3AED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7C3AED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7C3AED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7C3AED"/>
          <w:sz w:val="20"/>
        </w:rPr>
        <w:t>HOURLY WORK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5327"/>
            <w:shd w:val="clear" w:fill="7C3AED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986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HOURS</w:t>
            </w:r>
          </w:p>
        </w:tc>
        <w:tc>
          <w:tcPr>
            <w:tcW w:type="dxa" w:w="1677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874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Website copywriting — landing page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6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$85.00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$510.00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Revision round (per round)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$75.00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$150.00</w:t>
            </w: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p>
      <w:pPr>
        <w:spacing w:before="120" w:after="40"/>
      </w:pPr>
      <w:r>
        <w:rPr>
          <w:b/>
          <w:color w:val="7C3AED"/>
          <w:sz w:val="20"/>
        </w:rPr>
        <w:t>PROJECT / FLAT FEE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4933"/>
        <w:gridCol w:w="4933"/>
      </w:tblGrid>
      <w:tr>
        <w:tc>
          <w:tcPr>
            <w:tcW w:type="dxa" w:w="7990"/>
            <w:shd w:val="clear" w:fill="7C3AED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1874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7990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Blog article package — 4 × 1,500 words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$880.00</w:t>
            </w:r>
          </w:p>
        </w:tc>
      </w:tr>
      <w:tr>
        <w:tc>
          <w:tcPr>
            <w:tcW w:type="dxa" w:w="7990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Monthly content retainer — June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$450.00</w:t>
            </w: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$1,990.00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7C3AED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$1,990.00</w:t>
            </w:r>
          </w:p>
        </w:tc>
      </w:tr>
    </w:tbl>
    <w:p>
      <w:pPr>
        <w:spacing w:after="40"/>
      </w:pPr>
    </w:p>
    <w:p>
      <w:r>
        <w:rPr>
          <w:b/>
          <w:color w:val="7C3AED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